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59c7f7a6004cb8" /><Relationship Type="http://schemas.openxmlformats.org/package/2006/relationships/metadata/core-properties" Target="/package/services/metadata/core-properties/dd2a7176fbf64b418e6f0b9cb3492b46.psmdcp" Id="R6325b8722b9743c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1FD5" w:rsidR="00D36658" w:rsidP="00B71FD5" w:rsidRDefault="00E23389">
      <w:pPr>
        <w:pStyle w:val="1"/>
      </w:pPr>
      <w:bookmarkStart w:name="_GoBack" w:id="0"/>
      <w:bookmarkEnd w:id="0"/>
      <w:r w:rsidRPr="00B71FD5">
        <w:t>Рабочая программа</w:t>
      </w:r>
    </w:p>
    <w:p w:rsidRPr="00B71FD5" w:rsidR="00E23389" w:rsidP="00B71FD5" w:rsidRDefault="00E23389">
      <w:pPr>
        <w:pStyle w:val="1"/>
      </w:pPr>
      <w:r w:rsidRPr="00B71FD5">
        <w:t>по дисциплине «Управление и экономика фармации»</w:t>
      </w:r>
    </w:p>
    <w:p w:rsidRPr="00B71FD5" w:rsidR="00E23389" w:rsidP="00B71FD5" w:rsidRDefault="00E23389">
      <w:pPr>
        <w:pStyle w:val="1"/>
        <w:rPr>
          <w:sz w:val="24"/>
          <w:szCs w:val="24"/>
        </w:rPr>
      </w:pPr>
    </w:p>
    <w:p w:rsidRPr="00B71FD5" w:rsidR="00E23389" w:rsidP="00B71FD5" w:rsidRDefault="00E23389">
      <w:pPr>
        <w:pStyle w:val="2"/>
      </w:pPr>
      <w:r w:rsidRPr="00B71FD5">
        <w:t>Разработчики рабочей программы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Дударенкова Марина Рудольфовна</w:t>
      </w:r>
    </w:p>
    <w:p w:rsidRPr="00B71FD5" w:rsidR="00E23389" w:rsidP="00B71FD5" w:rsidRDefault="00E23389"/>
    <w:p w:rsidRPr="00B71FD5" w:rsidR="00E23389" w:rsidP="00B71FD5" w:rsidRDefault="00E23389">
      <w:pPr>
        <w:pStyle w:val="2"/>
      </w:pPr>
      <w:r w:rsidRPr="00B71FD5">
        <w:t>1. Трудоёмкость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12757"/>
        <w:gridCol w:w="1949"/>
      </w:tblGrid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center"/>
            </w:pPr>
            <w:r w:rsidRPr="00B71FD5">
              <w:t>№</w:t>
            </w:r>
          </w:p>
        </w:tc>
        <w:tc>
          <w:tcPr>
            <w:tcW w:w="12757" w:type="dxa"/>
          </w:tcPr>
          <w:p w:rsidRPr="00B71FD5" w:rsidR="00E23389" w:rsidP="00B71FD5" w:rsidRDefault="00E23389">
            <w:pPr>
              <w:jc w:val="center"/>
            </w:pPr>
            <w:r w:rsidRPr="00B71FD5">
              <w:t>Виды образовательной деятельности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center"/>
            </w:pPr>
            <w:r w:rsidRPr="00B71FD5">
              <w:t>Часы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1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Лекции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2,00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2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Практические занятия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14,00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3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Контроль самостоятельной работы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8,00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4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Самостоятельная работа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48,00</w:t>
            </w:r>
          </w:p>
        </w:tc>
      </w:tr>
      <w:tr w:rsidRPr="00B71FD5" w:rsidR="00E23389" w:rsidTr="00067B60">
        <w:tc>
          <w:tcPr>
            <w:tcW w:w="13745" w:type="dxa"/>
            <w:gridSpan w:val="2"/>
          </w:tcPr>
          <w:p w:rsidRPr="00B71FD5" w:rsidR="00E23389" w:rsidP="00B71FD5" w:rsidRDefault="00E23389">
            <w:pPr>
              <w:jc w:val="right"/>
            </w:pPr>
            <w:r w:rsidRPr="00B71FD5">
              <w:t>Общая трудоемкость (в часах)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72,00</w:t>
            </w:r>
          </w:p>
        </w:tc>
      </w:tr>
    </w:tbl>
    <w:p w:rsidRPr="00B71FD5" w:rsidR="00E23389" w:rsidP="00E23389" w:rsidRDefault="00E23389">
      <w:pPr>
        <w:rPr>
          <w:rFonts w:cs="Times New Roman"/>
          <w:szCs w:val="24"/>
        </w:rPr>
      </w:pPr>
    </w:p>
    <w:p w:rsidRPr="00B71FD5" w:rsidR="00E23389" w:rsidP="00B71FD5" w:rsidRDefault="00E23389">
      <w:pPr>
        <w:pStyle w:val="2"/>
      </w:pPr>
      <w:r w:rsidRPr="00B71FD5">
        <w:t>2. Цели и задачи дисциплины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Цель</w:t>
      </w:r>
    </w:p>
    <w:p w:rsidRPr="00B71FD5" w:rsidR="00E23389" w:rsidP="007915A4" w:rsidRDefault="00E23389">
      <w:pPr>
        <w:pStyle w:val="a3"/>
      </w:pPr>
      <w:bookmarkStart w:name="_GoBack" w:id="0"/>
      <w:r w:rsidRPr="00B71FD5">
        <w:t>подготовка квалифицированного провизора-технолога, обладающего универсальными и профессиональными компетенциями, способного и готового для самостоятельной профессиональной деятельности в сфере обращения лекарственных средств, усовершенствование знаний, профессиональных умений и навыков по управлению и экономике фармации для выполнения трудовых функций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Задачи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обеспечение специалиста современными знаниями и усовершенствование его умений по организации процессов, связанных с изготовлением, внутриаптечным контролем качества, отпуском и реализацией товаров аптечного ассортимента; управлению качеством в фармацевтической организации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обеспечение специалиста современными знаниями и усовершенствование его умений по организации деятельности и управлению персоналом, анализу экономических показателей фармацевтической организации</w:t>
      </w:r>
    </w:p>
    <w:p w:rsidRPr="00B71FD5" w:rsidR="00E23389" w:rsidP="00B71FD5" w:rsidRDefault="00E23389">
      <w:pPr>
        <w:pStyle w:val="2"/>
      </w:pPr>
      <w:r w:rsidRPr="00B71FD5">
        <w:t>3. Место дисциплины в структуре ООП</w:t>
      </w:r>
    </w:p>
    <w:p w:rsidRPr="00B71FD5" w:rsidR="00E23389" w:rsidP="00B71FD5" w:rsidRDefault="00E23389">
      <w:pPr>
        <w:pStyle w:val="2"/>
      </w:pPr>
      <w:r w:rsidRPr="00B71FD5">
        <w:t>4. Требования к результатам освоения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63"/>
        <w:gridCol w:w="1126"/>
        <w:gridCol w:w="3991"/>
        <w:gridCol w:w="2175"/>
        <w:gridCol w:w="1553"/>
        <w:gridCol w:w="3299"/>
        <w:gridCol w:w="2587"/>
      </w:tblGrid>
      <w:tr w:rsidR="00B71FD5" w:rsidTr="00B71FD5">
        <w:tc>
          <w:tcPr>
            <w:tcW w:w="963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1126" w:type="dxa"/>
          </w:tcPr>
          <w:p w:rsidR="00B71FD5" w:rsidP="00B71FD5" w:rsidRDefault="00B71FD5">
            <w:pPr>
              <w:jc w:val="center"/>
            </w:pPr>
            <w:r>
              <w:t>Индекс</w:t>
            </w:r>
          </w:p>
        </w:tc>
        <w:tc>
          <w:tcPr>
            <w:tcW w:w="3991" w:type="dxa"/>
          </w:tcPr>
          <w:p w:rsidR="00B71FD5" w:rsidP="00B71FD5" w:rsidRDefault="00B71FD5">
            <w:pPr>
              <w:jc w:val="center"/>
            </w:pPr>
            <w:r>
              <w:t>Компетенция</w:t>
            </w:r>
          </w:p>
        </w:tc>
        <w:tc>
          <w:tcPr>
            <w:tcW w:w="2175" w:type="dxa"/>
          </w:tcPr>
          <w:p w:rsidR="00B71FD5" w:rsidP="00B71FD5" w:rsidRDefault="00B71FD5">
            <w:pPr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</w:p>
        </w:tc>
        <w:tc>
          <w:tcPr>
            <w:tcW w:w="1553" w:type="dxa"/>
          </w:tcPr>
          <w:p w:rsidR="00B71FD5" w:rsidP="00B71FD5" w:rsidRDefault="00B71FD5">
            <w:pPr>
              <w:jc w:val="center"/>
            </w:pPr>
            <w:r>
              <w:t>Дескриптор</w:t>
            </w:r>
          </w:p>
        </w:tc>
        <w:tc>
          <w:tcPr>
            <w:tcW w:w="3299" w:type="dxa"/>
          </w:tcPr>
          <w:p w:rsidR="00B71FD5" w:rsidP="00B71FD5" w:rsidRDefault="00B71FD5">
            <w:pPr>
              <w:jc w:val="center"/>
            </w:pPr>
            <w:r>
              <w:t>Описания</w:t>
            </w:r>
          </w:p>
        </w:tc>
        <w:tc>
          <w:tcPr>
            <w:tcW w:w="2587" w:type="dxa"/>
          </w:tcPr>
          <w:p w:rsidR="00B71FD5" w:rsidP="00B71FD5" w:rsidRDefault="00B71FD5">
            <w:pPr>
              <w:jc w:val="center"/>
            </w:pPr>
            <w:r>
              <w:t>Формы контроля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ПК-4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использовать основы экономических и правовых знаний в профессиональной деятельности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нормативные документы, регламентирующие обращение лекарственных средств и других товаров аптечного ассортимента</w:t>
            </w:r>
          </w:p>
        </w:tc>
        <w:tc>
          <w:tcPr>
            <w:tcW w:w="2587" w:type="dxa"/>
          </w:tcPr>
          <w:p w:rsidR="00B71FD5" w:rsidP="00B71FD5" w:rsidRDefault="00B71FD5">
            <w:r>
              <w:t>письменный опрос;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применять положения нормативных документов для организации и осуществления деятельности, связанной с хранением, изготовлением, внутриаптечным контролем, отпуском, реализацией, уничтожением товаров аптечного ассортимента</w:t>
            </w:r>
          </w:p>
        </w:tc>
        <w:tc>
          <w:tcPr>
            <w:tcW w:w="2587" w:type="dxa"/>
          </w:tcPr>
          <w:p w:rsidR="00B71FD5" w:rsidP="00B71FD5" w:rsidRDefault="00B71FD5">
            <w:r>
              <w:t>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выполнения стандартных операционных процедур, связанных организацией процесса изготовления лекарственных препаратов, приемочным контролем отпуском, реализацией, уничтожением товаров аптечного ассортимента</w:t>
            </w:r>
          </w:p>
        </w:tc>
        <w:tc>
          <w:tcPr>
            <w:tcW w:w="2587" w:type="dxa"/>
          </w:tcPr>
          <w:p w:rsidR="00B71FD5" w:rsidP="00B71FD5" w:rsidRDefault="00B71FD5">
            <w:r>
              <w:t>проверка практических навыков;
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ПК-5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применению основных принципов управления в профессиональной сфере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основы делопроизводства</w:t>
            </w:r>
          </w:p>
        </w:tc>
        <w:tc>
          <w:tcPr>
            <w:tcW w:w="2587" w:type="dxa"/>
          </w:tcPr>
          <w:p w:rsidR="00B71FD5" w:rsidP="00B71FD5" w:rsidRDefault="00B71FD5">
            <w:r>
              <w:t>письменный опрос;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осуществлять документирование и документооборот в фармацевтической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работы с различными видами организационно-распорядительных документов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УК-2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основы кадрового менеджмента</w:t>
            </w:r>
          </w:p>
        </w:tc>
        <w:tc>
          <w:tcPr>
            <w:tcW w:w="2587" w:type="dxa"/>
          </w:tcPr>
          <w:p w:rsidR="00B71FD5" w:rsidP="00B71FD5" w:rsidRDefault="00B71FD5">
            <w:r>
              <w:t>письменный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применять основы кадрового менеджмента для управления коллективом и формирования кадровой политики фармацевтической организациии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оформления трудовых отношений, организационно-распорядительной документации в сфере управления коллективом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5.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tbl>
      <w:tblPr>
        <w:tblStyle w:val="a4"/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988"/>
        <w:gridCol w:w="5528"/>
        <w:gridCol w:w="1276"/>
        <w:gridCol w:w="1275"/>
        <w:gridCol w:w="567"/>
        <w:gridCol w:w="6060"/>
      </w:tblGrid>
      <w:tr w:rsidR="005B3AD6" w:rsidTr="004B74E2">
        <w:tc>
          <w:tcPr>
            <w:tcW w:w="988" w:type="dxa"/>
            <w:vMerge w:val="restart"/>
          </w:tcPr>
          <w:p w:rsidRPr="00B71FD5" w:rsidR="00B71FD5" w:rsidP="00B71FD5" w:rsidRDefault="00B71FD5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pPr>
              <w:jc w:val="center"/>
            </w:pPr>
            <w:r>
              <w:t>Наименование модуля дисциплины</w:t>
            </w:r>
          </w:p>
        </w:tc>
        <w:tc>
          <w:tcPr>
            <w:tcW w:w="2551" w:type="dxa"/>
            <w:gridSpan w:val="2"/>
          </w:tcPr>
          <w:p w:rsidR="00B71FD5" w:rsidP="00B71FD5" w:rsidRDefault="00B71FD5">
            <w:pPr>
              <w:jc w:val="center"/>
            </w:pPr>
            <w:r>
              <w:t>Трудоемкость модуля</w:t>
            </w:r>
          </w:p>
        </w:tc>
        <w:tc>
          <w:tcPr>
            <w:tcW w:w="6627" w:type="dxa"/>
            <w:gridSpan w:val="2"/>
            <w:vMerge w:val="restart"/>
          </w:tcPr>
          <w:p w:rsidR="00B71FD5" w:rsidP="00B71FD5" w:rsidRDefault="00B71FD5">
            <w:pPr>
              <w:jc w:val="center"/>
            </w:pPr>
            <w:r>
              <w:t>Содержание модуля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</w:tcPr>
          <w:p w:rsidR="00B71FD5" w:rsidP="00B71FD5" w:rsidRDefault="00B71FD5">
            <w:pPr>
              <w:jc w:val="center"/>
            </w:pP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71FD5" w:rsidP="00B71FD5" w:rsidRDefault="00B71FD5">
            <w:pPr>
              <w:jc w:val="center"/>
            </w:pPr>
            <w:r>
              <w:t>часы</w:t>
            </w:r>
          </w:p>
        </w:tc>
        <w:tc>
          <w:tcPr>
            <w:tcW w:w="6627" w:type="dxa"/>
            <w:gridSpan w:val="2"/>
            <w:vMerge/>
          </w:tcPr>
          <w:p w:rsidR="00B71FD5" w:rsidP="00B71FD5" w:rsidRDefault="00B71FD5"/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Управление и экономика фармации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02,00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72,00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Лекарственное обеспечение населения и медицинских организаций. Государственные гарантии доступности лекарственной помощи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Кадровый менеджмент фармацевтической организации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6060" w:type="dxa"/>
          </w:tcPr>
          <w:p w:rsidR="00B71FD5" w:rsidP="00B71FD5" w:rsidRDefault="00B71FD5">
            <w:r>
              <w:t>Управление качеством в аптечной организации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6060" w:type="dxa"/>
          </w:tcPr>
          <w:p w:rsidR="00B71FD5" w:rsidP="00B71FD5" w:rsidRDefault="00B71FD5">
            <w:r>
              <w:t>Ценообразование в фармацевтических организациях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5</w:t>
            </w:r>
          </w:p>
        </w:tc>
        <w:tc>
          <w:tcPr>
            <w:tcW w:w="6060" w:type="dxa"/>
          </w:tcPr>
          <w:p w:rsidR="00B71FD5" w:rsidP="00B71FD5" w:rsidRDefault="00B71FD5">
            <w:r>
              <w:t>Учет денежных средств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6</w:t>
            </w:r>
          </w:p>
        </w:tc>
        <w:tc>
          <w:tcPr>
            <w:tcW w:w="6060" w:type="dxa"/>
          </w:tcPr>
          <w:p w:rsidR="00B71FD5" w:rsidP="00B71FD5" w:rsidRDefault="00B71FD5">
            <w:r>
              <w:t>Товарная политика фармацевтической организации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7</w:t>
            </w:r>
          </w:p>
        </w:tc>
        <w:tc>
          <w:tcPr>
            <w:tcW w:w="6060" w:type="dxa"/>
          </w:tcPr>
          <w:p w:rsidR="00B71FD5" w:rsidP="00B71FD5" w:rsidRDefault="00B71FD5">
            <w:r>
              <w:t>Делопроизводство фармацевтической организации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6. Перечень учебно-методического обеспечения по дисциплине (модулю)</w:t>
      </w:r>
    </w:p>
    <w:p w:rsidRPr="00B71FD5" w:rsidR="00E23389" w:rsidP="00B71FD5" w:rsidRDefault="00E23389">
      <w:pPr>
        <w:pStyle w:val="2"/>
      </w:pPr>
      <w:r w:rsidRPr="00B71FD5">
        <w:t>7. Фонд оценочных средств для проведения промежуточной аттестации обучающихся по дисциплине (модулю)</w:t>
      </w:r>
    </w:p>
    <w:p w:rsidRPr="00B71FD5" w:rsidR="00E23389" w:rsidP="00B71FD5" w:rsidRDefault="00E23389">
      <w:pPr>
        <w:pStyle w:val="2"/>
      </w:pPr>
      <w:r w:rsidRPr="00B71FD5">
        <w:t>8. Перечень основной и дополнительной учебной литературы, необходимой для освоения дисциплины (модуля)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Основная литература</w:t>
      </w:r>
    </w:p>
    <w:p w:rsidRPr="00B71FD5" w:rsidR="00E23389" w:rsidP="007915A4" w:rsidRDefault="00E23389">
      <w:pPr>
        <w:pStyle w:val="a3"/>
        <w:numPr>
          <w:ilvl w:val="0"/>
          <w:numId w:val="12"/>
        </w:numPr>
      </w:pPr>
      <w:bookmarkStart w:name="_GoBack" w:id="0"/>
      <w:r w:rsidRPr="00B71FD5">
        <w:t>Наркевич, И. А. Управление и экономика фармации / под ред. И. А. Наркевича - Москва : ГЭОТАР-Медиа, 2017. - 928 с. - ISBN 978-5-9704-4226-5. - Текст : электронный // URL : https://www.rosmedlib.ru/book/ISBN9785970442265.html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Дополнительная литература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Фармацевтический маркетинг : учебное пособие / Н. И. Суслов, А. А. Чурин, М. Е. Добрусина, Е. А. Лосев. — Томск : Томский политехнический университет, 2014. — 320 c. — Текст : электронный // Электронно-библиотечная система IPR BOOKS : [сайт]. — URL: https://www.iprbookshop.ru/34728.html (дата обращения: 29.10.2021). — Режим доступа: для авторизир. пользователей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Программное обеспечение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Лицензионная операционная система Microsoft Windows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Лицензионный офисный пакет приложений Microsoft Office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Лицензионное антивирусное программное обеспечение Kaspersky Endpoint Security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Свободный пакет офисных приложений Apache OpenOffice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Базы данных, информационно-справочные и поисковые системы – Интернет ресурсы, отвечающие тематике дисциплины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Информационно-аналитическая система «SCIENCE INDEX» https://elibrary.ru/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«Электронная справочная правовая система. Консультант Плюс» http://www.consultant.ru/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«Государственный реестр лекарственных средств» https://grls.rosminzdrav.ru/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Ресурсы библиотеки ОрГМУ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Внутренняя электронно-библиотечная система ОрГМУ http://lib.orgma.ru/jirbis2/elektronnyj-katalog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http://www.studmedlib.ru/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Электронная библиотека медицинского колледжа http://www.medcollegelib.ru/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«Электронно-библиотечная система. IPRbooks» http://www.iprbookshop.ru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«Консультант врача. Электронная медицинская библиотека» http://www.rosmedlib.ru/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«Научная электронная библиотека eLIBRARY.RU» https://elibrary.ru</w:t>
      </w:r>
    </w:p>
    <w:p w:rsidRPr="00B71FD5" w:rsidR="00E23389" w:rsidP="00B71FD5" w:rsidRDefault="00E23389">
      <w:pPr>
        <w:pStyle w:val="2"/>
      </w:pPr>
      <w:r w:rsidRPr="00B71FD5">
        <w:t>9. Описание материально-технической базы, необходимой для осуществления образовательного процесса по дисциплине (модулю)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961"/>
        <w:gridCol w:w="3685"/>
        <w:gridCol w:w="6060"/>
      </w:tblGrid>
      <w:tr w:rsidR="00B71FD5" w:rsidTr="00E54937">
        <w:tc>
          <w:tcPr>
            <w:tcW w:w="988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961" w:type="dxa"/>
          </w:tcPr>
          <w:p w:rsidR="00B71FD5" w:rsidP="00B71FD5" w:rsidRDefault="00B71FD5">
            <w:pPr>
              <w:jc w:val="center"/>
            </w:pPr>
            <w: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85" w:type="dxa"/>
          </w:tcPr>
          <w:p w:rsidR="00B71FD5" w:rsidP="00B71FD5" w:rsidRDefault="00B71FD5">
            <w:pPr>
              <w:jc w:val="center"/>
            </w:pPr>
            <w:r>
              <w:t>Типы занятий</w:t>
            </w:r>
          </w:p>
        </w:tc>
        <w:tc>
          <w:tcPr>
            <w:tcW w:w="6060" w:type="dxa"/>
          </w:tcPr>
          <w:p w:rsidR="00B71FD5" w:rsidP="00B71FD5" w:rsidRDefault="00B71FD5">
            <w:pPr>
              <w:jc w:val="center"/>
            </w:pPr>
            <w:r>
              <w:t>Оснащенность специальных помещений и помещений для самостоятельной работы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460002, Оренбургская область, г. Оренбург, пр. Парковый, 7, учебный корпус №3, лекционная аудитория 4</w:t>
            </w:r>
          </w:p>
        </w:tc>
        <w:tc>
          <w:tcPr>
            <w:tcW w:w="3685" w:type="dxa"/>
          </w:tcPr>
          <w:p w:rsidR="00B71FD5" w:rsidP="005D069F" w:rsidRDefault="00917C7E">
            <w:r>
              <w:t>Лекции</w:t>
            </w:r>
          </w:p>
        </w:tc>
        <w:tc>
          <w:tcPr>
            <w:tcW w:w="6060" w:type="dxa"/>
          </w:tcPr>
          <w:p w:rsidR="00B71FD5" w:rsidP="005D069F" w:rsidRDefault="00917C7E">
            <w:r>
              <w:t>Мультимедийный комплекс – видеопроектор, экран, ноутбук; Учебная мебель на 150 посадочных мест; Мебель для преподавателя; Учебная доска.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460002, Оренбургская область, г.Оренбург, пр. Парковый, 7, учебный корпус №3, аудитория № 253</w:t>
            </w:r>
          </w:p>
        </w:tc>
        <w:tc>
          <w:tcPr>
            <w:tcW w:w="3685" w:type="dxa"/>
          </w:tcPr>
          <w:p w:rsidR="00B71FD5" w:rsidP="005D069F" w:rsidRDefault="00917C7E">
            <w:r>
              <w:t>Практические занятия; Контроль самостоятельной работы; 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20 посадочных мест, плакаты,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460000, Оренбургская область, г. Оренбург, ул. Советская/ул. М. Горького/ пер. Дмитриевский, 6/45/7, учебный корпус №1, аудитория №212</w:t>
            </w:r>
          </w:p>
        </w:tc>
        <w:tc>
          <w:tcPr>
            <w:tcW w:w="3685" w:type="dxa"/>
          </w:tcPr>
          <w:p w:rsidR="00B71FD5" w:rsidP="005D069F" w:rsidRDefault="00917C7E">
            <w:r>
              <w:t>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10 рабочих мест,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460000, Оренбургская область, г. Оренбург, ул. Советская/ул. М. Горького/ пер. Дмитриевский, 6/45/7, учебный корпус №1, аудитория №319</w:t>
            </w:r>
          </w:p>
        </w:tc>
        <w:tc>
          <w:tcPr>
            <w:tcW w:w="3685" w:type="dxa"/>
          </w:tcPr>
          <w:p w:rsidR="00B71FD5" w:rsidP="005D069F" w:rsidRDefault="00917C7E">
            <w:r>
              <w:t>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10 рабочих мест,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460000, Оренбургская область, г. Оренбург, ул. Советская/ул. М. Горького/ пер. Дмитриевский, 6/45/7, учебный корпус №2, аудитория №202</w:t>
            </w:r>
          </w:p>
        </w:tc>
        <w:tc>
          <w:tcPr>
            <w:tcW w:w="3685" w:type="dxa"/>
          </w:tcPr>
          <w:p w:rsidR="00B71FD5" w:rsidP="005D069F" w:rsidRDefault="00917C7E">
            <w:r>
              <w:t>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14 рабочих мест,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460002, Оренбургская область, г. Оренбург, пр. Парковый, 7, учебный корпус №3, аудитория №259</w:t>
            </w:r>
          </w:p>
        </w:tc>
        <w:tc>
          <w:tcPr>
            <w:tcW w:w="3685" w:type="dxa"/>
          </w:tcPr>
          <w:p w:rsidR="00B71FD5" w:rsidP="005D069F" w:rsidRDefault="00917C7E">
            <w:r>
              <w:t>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12 рабочих мест,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961" w:type="dxa"/>
          </w:tcPr>
          <w:p w:rsidR="00B71FD5" w:rsidP="005D069F" w:rsidRDefault="00917C7E">
            <w:r>
              <w:t>460002, Оренбургская область, г. Оренбург, пр. Парковый, 7, учебный корпус №3, аудитория №128</w:t>
            </w:r>
          </w:p>
        </w:tc>
        <w:tc>
          <w:tcPr>
            <w:tcW w:w="3685" w:type="dxa"/>
          </w:tcPr>
          <w:p w:rsidR="00B71FD5" w:rsidP="005D069F" w:rsidRDefault="00917C7E">
            <w:r>
              <w:t>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11 рабочих мест,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961" w:type="dxa"/>
          </w:tcPr>
          <w:p w:rsidR="00B71FD5" w:rsidP="005D069F" w:rsidRDefault="00917C7E">
            <w:r>
              <w:t>460018, Оренбургская область, г. Оренбург, ул. Невельская, 26а, Клиника адаптационной медицины ФГБОУ ВО ОрГМУ Минздрава России, аудитория №6</w:t>
            </w:r>
          </w:p>
        </w:tc>
        <w:tc>
          <w:tcPr>
            <w:tcW w:w="3685" w:type="dxa"/>
          </w:tcPr>
          <w:p w:rsidR="00B71FD5" w:rsidP="005D069F" w:rsidRDefault="00917C7E">
            <w:r>
              <w:t>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10 рабочих мест, обеспеченных ПК с подключением к сети Интернет и доступом в электронную информационно-образовательную среду вуза.</w:t>
            </w:r>
          </w:p>
        </w:tc>
      </w:tr>
    </w:tbl>
    <w:sectPr w:rsidRPr="00B71FD5" w:rsidR="00E23389" w:rsidSect="00E23389">
      <w:pgSz w:w="16838" w:h="11906" w:orient="landscape" w:code="9"/>
      <w:pgMar w:top="567" w:right="567" w:bottom="567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07AC"/>
    <w:multiLevelType w:val="hybridMultilevel"/>
    <w:tmpl w:val="0AFC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89"/>
    <w:rsid w:val="00B71FD5"/>
    <w:rsid w:val="00D36658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 xmlns:w15="http://schemas.microsoft.com/office/word/2012/wordml"/>
  <w15:docId xmlns:w15="http://schemas.microsoft.com/office/word/2012/wordml" w15:val="{6A09B258-B4D4-45F3-99B4-EE3EA1F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B71FD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1FD5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D5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19F2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B71FD5"/>
    <w:rPr>
      <w:rFonts w:ascii="Times New Roman" w:hAnsi="Times New Roman" w:eastAsiaTheme="majorEastAsia" w:cstheme="majorBidi"/>
      <w:sz w:val="32"/>
      <w:szCs w:val="32"/>
    </w:rPr>
  </w:style>
  <w:style w:type="character" w:styleId="20" w:customStyle="true">
    <w:name w:val="Заголовок 2 Знак"/>
    <w:basedOn w:val="a0"/>
    <w:link w:val="2"/>
    <w:uiPriority w:val="9"/>
    <w:rsid w:val="00B71FD5"/>
    <w:rPr>
      <w:rFonts w:ascii="Times New Roman" w:hAnsi="Times New Roman" w:eastAsiaTheme="majorEastAsia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E23389"/>
    <w:pPr>
      <w:ind w:left="720"/>
      <w:contextualSpacing/>
    </w:pPr>
  </w:style>
  <w:style w:type="character" w:styleId="30" w:customStyle="true">
    <w:name w:val="Заголовок 3 Знак"/>
    <w:basedOn w:val="a0"/>
    <w:link w:val="3"/>
    <w:uiPriority w:val="9"/>
    <w:rsid w:val="00C319F2"/>
    <w:rPr>
      <w:rFonts w:ascii="Times New Roman" w:hAnsi="Times New Roman" w:eastAsiaTheme="majorEastAsia" w:cstheme="majorBidi"/>
      <w:sz w:val="24"/>
      <w:szCs w:val="24"/>
    </w:rPr>
  </w:style>
  <w:style w:type="table" w:styleId="a4">
    <w:name w:val="Table Grid"/>
    <w:basedOn w:val="a1"/>
    <w:uiPriority w:val="39"/>
    <w:rsid w:val="00E23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16</ap:TotalTime>
  <ap:Pages>1</ap:Pages>
  <ap:Words>41</ap:Words>
  <ap:Characters>235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OrSMU</ap:Company>
  <ap:LinksUpToDate>false</ap:LinksUpToDate>
  <ap:CharactersWithSpaces>275</ap:CharactersWithSpaces>
  <ap:SharedDoc>false</ap:SharedDoc>
  <ap:HyperlinksChanged>false</ap:HyperlinksChanged>
  <ap:AppVersion>15.0000</ap:AppVersion>
</ap:Properties>
</file>